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01E" w:rsidRPr="00001CE1" w:rsidRDefault="008C501E" w:rsidP="008C501E">
      <w:pPr>
        <w:pStyle w:val="Normlnweb"/>
        <w:rPr>
          <w:color w:val="000000"/>
        </w:rPr>
      </w:pPr>
      <w:r w:rsidRPr="00001CE1">
        <w:rPr>
          <w:color w:val="000000"/>
        </w:rPr>
        <w:t>22. 2. JE EVROPSKÝM DNEM OBĚTÍ</w:t>
      </w:r>
    </w:p>
    <w:p w:rsidR="008C501E" w:rsidRPr="00001CE1" w:rsidRDefault="008C501E" w:rsidP="008C501E">
      <w:pPr>
        <w:pStyle w:val="Normlnweb"/>
        <w:rPr>
          <w:color w:val="000000"/>
        </w:rPr>
      </w:pPr>
      <w:r w:rsidRPr="00001CE1">
        <w:rPr>
          <w:color w:val="000000"/>
        </w:rPr>
        <w:t xml:space="preserve">MS kraj – policie radí, jak postupovat, když se stanete obětí </w:t>
      </w:r>
      <w:proofErr w:type="spellStart"/>
      <w:r w:rsidRPr="00001CE1">
        <w:rPr>
          <w:color w:val="000000"/>
        </w:rPr>
        <w:t>tr</w:t>
      </w:r>
      <w:proofErr w:type="spellEnd"/>
      <w:r w:rsidRPr="00001CE1">
        <w:rPr>
          <w:color w:val="000000"/>
        </w:rPr>
        <w:t xml:space="preserve">. </w:t>
      </w:r>
      <w:proofErr w:type="gramStart"/>
      <w:r w:rsidRPr="00001CE1">
        <w:rPr>
          <w:color w:val="000000"/>
        </w:rPr>
        <w:t>čin</w:t>
      </w:r>
      <w:r>
        <w:rPr>
          <w:color w:val="000000"/>
        </w:rPr>
        <w:t>n</w:t>
      </w:r>
      <w:r w:rsidRPr="00001CE1">
        <w:rPr>
          <w:color w:val="000000"/>
        </w:rPr>
        <w:t>osti</w:t>
      </w:r>
      <w:proofErr w:type="gramEnd"/>
      <w:r w:rsidRPr="00001CE1">
        <w:rPr>
          <w:color w:val="000000"/>
        </w:rPr>
        <w:t>.</w:t>
      </w:r>
    </w:p>
    <w:p w:rsidR="008C501E" w:rsidRPr="00001CE1" w:rsidRDefault="008C501E" w:rsidP="008C501E">
      <w:pPr>
        <w:pStyle w:val="Normlnweb"/>
        <w:jc w:val="both"/>
        <w:rPr>
          <w:color w:val="000000"/>
        </w:rPr>
      </w:pPr>
      <w:r w:rsidRPr="00001CE1">
        <w:rPr>
          <w:color w:val="000000"/>
        </w:rPr>
        <w:t>Evropský den obětí, či Evropský den zločinu je dnem, který nám připomíná, kolik z nás se už stalo obětí trestného činu. Tento den nám má pomoci zvýšit podvědomí o možné pomoci a pod</w:t>
      </w:r>
      <w:r>
        <w:rPr>
          <w:color w:val="000000"/>
        </w:rPr>
        <w:t>p</w:t>
      </w:r>
      <w:r w:rsidRPr="00001CE1">
        <w:rPr>
          <w:color w:val="000000"/>
        </w:rPr>
        <w:t>oře obětí i jejich blízkým, které obvykle tato situace též zasáhne, i když nepřímo. Za vyhlášením tohoto mezinárodního dne stojí podpis Charty práv obětí z velké Británie. V České republice se v této souvislosti setkáváme s organizací Bílý kruh bezpečí.</w:t>
      </w:r>
    </w:p>
    <w:p w:rsidR="008C501E" w:rsidRPr="00001CE1" w:rsidRDefault="008C501E" w:rsidP="008C501E">
      <w:pPr>
        <w:pStyle w:val="Normlnweb"/>
        <w:jc w:val="both"/>
        <w:rPr>
          <w:color w:val="000000"/>
        </w:rPr>
      </w:pPr>
      <w:r w:rsidRPr="00001CE1">
        <w:rPr>
          <w:color w:val="000000"/>
        </w:rPr>
        <w:t>Obětí trestného činu je každá osoba, která je dotčená na svých právech tím, že na ní byl spáchán trestný čin. Tuto problematiku upravuje zákon číslo 45/2013 Sb. O obětech trestných činů. Ovšem i zde platí, že není oběť jako oběť. Pro účely trestního řízení se rozlišuje oběť trestného činu a zvlášť zranitelná oběť trestného činu. Obětí trestného činu se rozumí fyzická osoba, které bylo nebo mělo být trestným činem ublíženo na zdraví, způsobena majetková nebo nemajetková újma nebo na jejíž úkor se pachatel trestným činem obohatil. Za zvlášť zranitelnou oběť se považuje dítě, osoba vysokého věku nebo postižením fyzickým, mentálním nebo psychickým hendikepem nebo smyslovým poškozením, oběť trestného činu obchodování s lidmi, nebo trestného činu teroristického útoku a oběť trestného činu proti lidské důstojnosti v sexuální oblasti. Oběti trestných činů mohou využít možností, které jim poskytuje zákon o obětech trestných činů a mohou např. požádat o skrytí svých osobních údajů tak, aby se podezřelá osoba nemohla dozvědět, např. údaje o jejich bydlišti a zaměstnání.</w:t>
      </w:r>
    </w:p>
    <w:p w:rsidR="008C501E" w:rsidRDefault="008C501E" w:rsidP="008C501E">
      <w:pPr>
        <w:pStyle w:val="Normlnweb"/>
        <w:jc w:val="both"/>
        <w:rPr>
          <w:color w:val="000000"/>
        </w:rPr>
      </w:pPr>
      <w:r w:rsidRPr="00001CE1">
        <w:rPr>
          <w:color w:val="000000"/>
        </w:rPr>
        <w:t>V souvislosti s touto problematikou jsou na území Městského ředitelství policie Ostrava</w:t>
      </w:r>
      <w:r>
        <w:rPr>
          <w:color w:val="000000"/>
        </w:rPr>
        <w:t xml:space="preserve"> zřízena</w:t>
      </w:r>
      <w:r w:rsidRPr="00001CE1">
        <w:rPr>
          <w:color w:val="000000"/>
        </w:rPr>
        <w:t xml:space="preserve"> poradenská místa, která slouží pro oběti domácího násilí a </w:t>
      </w:r>
      <w:r>
        <w:rPr>
          <w:color w:val="000000"/>
        </w:rPr>
        <w:t>zúčastněné osoby včetně dětí.</w:t>
      </w:r>
      <w:r w:rsidRPr="00001CE1">
        <w:rPr>
          <w:color w:val="000000"/>
        </w:rPr>
        <w:t xml:space="preserve"> V Ostravě aktuálně existují 4 takové speciální poradenské místnosti, konkrétně se nacházejí na obvodním oddělení Ostrava-Střed (ul. Masná), Ostrava-Poruba 1 (ul. Dělnická), Ostrava</w:t>
      </w:r>
      <w:r>
        <w:rPr>
          <w:color w:val="000000"/>
        </w:rPr>
        <w:t xml:space="preserve"> </w:t>
      </w:r>
      <w:r w:rsidRPr="00001CE1">
        <w:rPr>
          <w:color w:val="000000"/>
        </w:rPr>
        <w:t>-</w:t>
      </w:r>
      <w:r>
        <w:rPr>
          <w:color w:val="000000"/>
        </w:rPr>
        <w:t xml:space="preserve"> </w:t>
      </w:r>
      <w:r w:rsidRPr="00001CE1">
        <w:rPr>
          <w:color w:val="000000"/>
        </w:rPr>
        <w:t xml:space="preserve">Přívoz  (ul. Wattova) a Ostrava-Hrabůvka (ul. Dr. Martínka). Další informace ke zřízení místa naleznete na: </w:t>
      </w:r>
      <w:hyperlink r:id="rId8" w:history="1">
        <w:r w:rsidR="00CE5ACC" w:rsidRPr="00BA2261">
          <w:rPr>
            <w:rStyle w:val="Hypertextovodkaz"/>
          </w:rPr>
          <w:t>https://www.policie.cz/clanek/poradesnka-mista.aspx</w:t>
        </w:r>
      </w:hyperlink>
      <w:r w:rsidR="00CE5ACC">
        <w:rPr>
          <w:color w:val="000000"/>
        </w:rPr>
        <w:t xml:space="preserve"> </w:t>
      </w:r>
    </w:p>
    <w:p w:rsidR="00CE5ACC" w:rsidRDefault="008C501E" w:rsidP="008C501E">
      <w:pPr>
        <w:pStyle w:val="Normlnweb"/>
        <w:jc w:val="both"/>
        <w:rPr>
          <w:color w:val="000000"/>
        </w:rPr>
      </w:pPr>
      <w:r w:rsidRPr="00001CE1">
        <w:rPr>
          <w:color w:val="000000"/>
        </w:rPr>
        <w:t>V roce 2020 poskytli policisté na Ostravsku poradenskou činnost, či konzultace ve více jak 250 případech obětem domácího násilí</w:t>
      </w:r>
      <w:r w:rsidR="00D25EBC">
        <w:rPr>
          <w:color w:val="000000"/>
        </w:rPr>
        <w:t xml:space="preserve"> a dalším osobám (svědkům aj.)</w:t>
      </w:r>
      <w:r w:rsidRPr="00001CE1">
        <w:rPr>
          <w:color w:val="000000"/>
        </w:rPr>
        <w:t xml:space="preserve">. </w:t>
      </w:r>
      <w:r w:rsidR="005E176B">
        <w:rPr>
          <w:color w:val="000000"/>
        </w:rPr>
        <w:t xml:space="preserve">Musíme si uvědomit, ať </w:t>
      </w:r>
      <w:r w:rsidR="003C2C10">
        <w:rPr>
          <w:color w:val="000000"/>
        </w:rPr>
        <w:t xml:space="preserve">už </w:t>
      </w:r>
      <w:r w:rsidR="005E176B">
        <w:rPr>
          <w:color w:val="000000"/>
        </w:rPr>
        <w:t>hovoříme o domácím násilí nebo</w:t>
      </w:r>
      <w:r w:rsidR="009858E6">
        <w:rPr>
          <w:color w:val="000000"/>
        </w:rPr>
        <w:t xml:space="preserve"> o</w:t>
      </w:r>
      <w:r w:rsidR="005E176B">
        <w:rPr>
          <w:color w:val="000000"/>
        </w:rPr>
        <w:t xml:space="preserve"> jiném protiprávním jednání, </w:t>
      </w:r>
      <w:r w:rsidR="009858E6">
        <w:rPr>
          <w:color w:val="000000"/>
        </w:rPr>
        <w:t>že se vždy</w:t>
      </w:r>
      <w:r w:rsidR="005E176B">
        <w:rPr>
          <w:color w:val="000000"/>
        </w:rPr>
        <w:t xml:space="preserve"> jedná o patologický jev, který si vyžaduje svou specifickou pozornost a řešení. </w:t>
      </w:r>
      <w:r w:rsidR="005E6052">
        <w:rPr>
          <w:color w:val="000000"/>
        </w:rPr>
        <w:t>Nenechte zajít situaci příliš daleko</w:t>
      </w:r>
      <w:r w:rsidR="009858E6">
        <w:rPr>
          <w:color w:val="000000"/>
        </w:rPr>
        <w:t>, chráníte nejen sebe a svůj majetek, ale i své blízké. Když si nejste jisti, informujte se, raďte se a konzultujte své starosti na kterékoliv policejní služebně</w:t>
      </w:r>
      <w:r w:rsidR="000522B0">
        <w:rPr>
          <w:color w:val="000000"/>
        </w:rPr>
        <w:t xml:space="preserve"> či </w:t>
      </w:r>
      <w:r w:rsidR="009858E6">
        <w:rPr>
          <w:color w:val="000000"/>
        </w:rPr>
        <w:t>dalších odborných institucí</w:t>
      </w:r>
      <w:r w:rsidR="003C2C10">
        <w:rPr>
          <w:color w:val="000000"/>
        </w:rPr>
        <w:t>ch</w:t>
      </w:r>
      <w:r w:rsidR="009858E6">
        <w:rPr>
          <w:color w:val="000000"/>
        </w:rPr>
        <w:t>.</w:t>
      </w:r>
      <w:r w:rsidR="00CE5ACC">
        <w:rPr>
          <w:color w:val="000000"/>
        </w:rPr>
        <w:t xml:space="preserve"> Svěřte se osobě, které důvěřujete. Tato osoba nám může poskytnout cenné informace při šetření protiprávních skutků. Zejména pak těch, které mají dlouhodobý charakter. </w:t>
      </w:r>
      <w:r w:rsidR="008B113D">
        <w:rPr>
          <w:color w:val="000000"/>
        </w:rPr>
        <w:t>Dopředu si zajistěte kde se uchýlit v případě náhlého opuštění domova a buďte na tuto nouzovou situaci</w:t>
      </w:r>
      <w:bookmarkStart w:id="0" w:name="_GoBack"/>
      <w:bookmarkEnd w:id="0"/>
      <w:r w:rsidR="008B113D">
        <w:rPr>
          <w:color w:val="000000"/>
        </w:rPr>
        <w:t xml:space="preserve"> podvědomě připraveni.</w:t>
      </w:r>
    </w:p>
    <w:p w:rsidR="00CE5ACC" w:rsidRDefault="00CE5ACC" w:rsidP="008C501E">
      <w:pPr>
        <w:pStyle w:val="Normlnweb"/>
        <w:jc w:val="both"/>
        <w:rPr>
          <w:color w:val="000000"/>
        </w:rPr>
      </w:pPr>
      <w:r>
        <w:rPr>
          <w:color w:val="000000"/>
        </w:rPr>
        <w:lastRenderedPageBreak/>
        <w:t xml:space="preserve">  Další cenné rady k domácímu násilí naleznete zde: </w:t>
      </w:r>
      <w:hyperlink r:id="rId9" w:history="1">
        <w:r w:rsidRPr="00BA2261">
          <w:rPr>
            <w:rStyle w:val="Hypertextovodkaz"/>
          </w:rPr>
          <w:t>https://www.policie.cz/clanek/domaci-nasili-706878.aspx</w:t>
        </w:r>
      </w:hyperlink>
    </w:p>
    <w:p w:rsidR="008C501E" w:rsidRPr="00001CE1" w:rsidRDefault="008C501E" w:rsidP="008C501E">
      <w:pPr>
        <w:pStyle w:val="Normlnweb"/>
        <w:jc w:val="both"/>
        <w:rPr>
          <w:color w:val="000000"/>
        </w:rPr>
      </w:pPr>
      <w:r w:rsidRPr="00001CE1">
        <w:rPr>
          <w:color w:val="000000"/>
        </w:rPr>
        <w:t>Policisté, sami si vědomi toho, jak traumatizující je dopad trestných činů na oběti, přistupují k obětem empaticky a snaží se situaci řešit s využitím vhodného materiálu, vždy s ohledem na cílovou skupinu. U dětí jsou využívány zpravidla rozličné hračky, speciální tiskoviny pro dospělou veřejnost. Jsou to například antistresové míčky, letáky s právními informacemi a letáky s nabídkou služeb ostatních organizací, se kterými útvary policie úzce spolupracují.</w:t>
      </w:r>
    </w:p>
    <w:p w:rsidR="008C501E" w:rsidRPr="00001CE1" w:rsidRDefault="008C501E" w:rsidP="008C501E">
      <w:pPr>
        <w:pStyle w:val="Normlnweb"/>
        <w:jc w:val="both"/>
        <w:rPr>
          <w:color w:val="000000"/>
        </w:rPr>
      </w:pPr>
      <w:r w:rsidRPr="00001CE1">
        <w:rPr>
          <w:color w:val="000000"/>
        </w:rPr>
        <w:t xml:space="preserve">Jedna z organizací, která úzce spolupracuje s orgány činnými v trestním řízení je i Bílý kruh bezpečí, který nabízí bezplatnou právní a morální pomoc obětem trestných činů. Bílý kruh bezpečí nabízí dále širokou škálu pomoci, která lze dohledat na </w:t>
      </w:r>
      <w:hyperlink r:id="rId10" w:history="1">
        <w:r w:rsidRPr="00001CE1">
          <w:rPr>
            <w:rStyle w:val="Hypertextovodkaz"/>
          </w:rPr>
          <w:t>www.bkb.cz</w:t>
        </w:r>
      </w:hyperlink>
      <w:r w:rsidRPr="00001CE1">
        <w:rPr>
          <w:color w:val="000000"/>
        </w:rPr>
        <w:t>.</w:t>
      </w:r>
    </w:p>
    <w:p w:rsidR="008C501E" w:rsidRDefault="008C501E" w:rsidP="008C501E">
      <w:pPr>
        <w:pStyle w:val="Normlnweb"/>
        <w:jc w:val="both"/>
        <w:rPr>
          <w:color w:val="000000"/>
        </w:rPr>
      </w:pPr>
      <w:r w:rsidRPr="00001CE1">
        <w:rPr>
          <w:color w:val="000000"/>
        </w:rPr>
        <w:t>Policie slouží veřejnosti a setkávání se s obětmi trestné činnosti je jedna z denních náplní policistů. Z tohoto důvodu není na místě jakákoliv obava a občané mohou kdykoliv přijít na kterékoliv obvodní oddělení policie, kde</w:t>
      </w:r>
      <w:r>
        <w:rPr>
          <w:color w:val="000000"/>
        </w:rPr>
        <w:t xml:space="preserve"> jim bude poskytnuto</w:t>
      </w:r>
      <w:r w:rsidRPr="00001CE1">
        <w:rPr>
          <w:color w:val="000000"/>
        </w:rPr>
        <w:t xml:space="preserve"> prof</w:t>
      </w:r>
      <w:r>
        <w:rPr>
          <w:color w:val="000000"/>
        </w:rPr>
        <w:t>esionální poradenství a přístup.</w:t>
      </w:r>
    </w:p>
    <w:p w:rsidR="008C501E" w:rsidRDefault="008C501E" w:rsidP="008C501E">
      <w:pPr>
        <w:pStyle w:val="Normlnweb"/>
        <w:jc w:val="both"/>
        <w:rPr>
          <w:color w:val="000000"/>
        </w:rPr>
      </w:pPr>
    </w:p>
    <w:p w:rsidR="008C501E" w:rsidRPr="008D4797" w:rsidRDefault="008C501E" w:rsidP="008C501E">
      <w:pPr>
        <w:pStyle w:val="Normlnweb"/>
        <w:jc w:val="both"/>
        <w:rPr>
          <w:rStyle w:val="data"/>
          <w:color w:val="000000"/>
        </w:rPr>
      </w:pPr>
    </w:p>
    <w:p w:rsidR="008C501E" w:rsidRDefault="008C501E" w:rsidP="008C501E">
      <w:pPr>
        <w:spacing w:before="120" w:after="120"/>
        <w:rPr>
          <w:rFonts w:ascii="Times New Roman" w:hAnsi="Times New Roman"/>
        </w:rPr>
      </w:pPr>
      <w:r>
        <w:rPr>
          <w:rFonts w:ascii="Times New Roman" w:hAnsi="Times New Roman"/>
        </w:rPr>
        <w:t>Krajské ředitelství policie Moravskoslezského kraje</w:t>
      </w:r>
      <w:r>
        <w:rPr>
          <w:rFonts w:ascii="Times New Roman" w:hAnsi="Times New Roman"/>
        </w:rPr>
        <w:br/>
        <w:t>nprap. Lucie Galiová</w:t>
      </w:r>
      <w:r>
        <w:rPr>
          <w:rFonts w:ascii="Times New Roman" w:hAnsi="Times New Roman"/>
        </w:rPr>
        <w:br/>
        <w:t>vrchní inspektor oddělení prevence</w:t>
      </w:r>
      <w:r>
        <w:rPr>
          <w:rFonts w:ascii="Times New Roman" w:hAnsi="Times New Roman"/>
        </w:rPr>
        <w:br/>
        <w:t>20. února 2021</w:t>
      </w:r>
    </w:p>
    <w:p w:rsidR="008C501E" w:rsidRPr="00550DC2" w:rsidRDefault="008C501E" w:rsidP="008C501E">
      <w:pPr>
        <w:jc w:val="both"/>
        <w:rPr>
          <w:rFonts w:ascii="Times New Roman" w:hAnsi="Times New Roman"/>
          <w:sz w:val="24"/>
        </w:rPr>
      </w:pPr>
    </w:p>
    <w:p w:rsidR="007F55A2" w:rsidRPr="001853D9" w:rsidRDefault="007F55A2" w:rsidP="001853D9"/>
    <w:sectPr w:rsidR="007F55A2" w:rsidRPr="001853D9" w:rsidSect="003838FA">
      <w:footerReference w:type="default" r:id="rId11"/>
      <w:headerReference w:type="first" r:id="rId12"/>
      <w:footerReference w:type="first" r:id="rId13"/>
      <w:type w:val="continuous"/>
      <w:pgSz w:w="11906" w:h="16838" w:code="9"/>
      <w:pgMar w:top="1418" w:right="1134" w:bottom="1418" w:left="1134" w:header="403"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BED" w:rsidRDefault="00504BED">
      <w:r>
        <w:separator/>
      </w:r>
    </w:p>
  </w:endnote>
  <w:endnote w:type="continuationSeparator" w:id="0">
    <w:p w:rsidR="00504BED" w:rsidRDefault="0050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AAB" w:rsidRDefault="005C020E" w:rsidP="005C020E">
    <w:pPr>
      <w:pStyle w:val="Zpat"/>
      <w:jc w:val="right"/>
    </w:pPr>
    <w:r>
      <w:rPr>
        <w:rStyle w:val="slostrnky"/>
      </w:rPr>
      <w:fldChar w:fldCharType="begin"/>
    </w:r>
    <w:r>
      <w:rPr>
        <w:rStyle w:val="slostrnky"/>
      </w:rPr>
      <w:instrText xml:space="preserve"> PAGE </w:instrText>
    </w:r>
    <w:r>
      <w:rPr>
        <w:rStyle w:val="slostrnky"/>
      </w:rPr>
      <w:fldChar w:fldCharType="separate"/>
    </w:r>
    <w:r w:rsidR="008B113D">
      <w:rPr>
        <w:rStyle w:val="slostrnky"/>
        <w:noProof/>
      </w:rPr>
      <w:t>2</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3CD" w:rsidRDefault="003033CD">
    <w:pPr>
      <w:pStyle w:val="Zpat"/>
    </w:pPr>
  </w:p>
  <w:p w:rsidR="003033CD" w:rsidRDefault="00D02C5D">
    <w:pPr>
      <w:pStyle w:val="Zpat"/>
    </w:pPr>
    <w:r>
      <w:t>Beskydská 2061</w:t>
    </w:r>
  </w:p>
  <w:p w:rsidR="003033CD" w:rsidRDefault="0055746C" w:rsidP="00C70F2F">
    <w:pPr>
      <w:pStyle w:val="Zpat"/>
    </w:pPr>
    <w:r>
      <w:t>7</w:t>
    </w:r>
    <w:r w:rsidR="00D02C5D">
      <w:t>38 01 Frýdek-Místek</w:t>
    </w:r>
  </w:p>
  <w:p w:rsidR="003033CD" w:rsidRDefault="003033CD">
    <w:pPr>
      <w:pStyle w:val="Zpat"/>
    </w:pPr>
  </w:p>
  <w:p w:rsidR="003033CD" w:rsidRDefault="003033CD">
    <w:pPr>
      <w:pStyle w:val="Zpat"/>
    </w:pPr>
    <w:r>
      <w:t>Tel.: +420</w:t>
    </w:r>
    <w:r w:rsidR="006B1A86">
      <w:t> 974</w:t>
    </w:r>
    <w:r w:rsidR="00D02C5D">
      <w:t> 732 207</w:t>
    </w:r>
  </w:p>
  <w:p w:rsidR="003033CD" w:rsidRDefault="009C05A9">
    <w:pPr>
      <w:pStyle w:val="Zpat"/>
    </w:pPr>
    <w:r>
      <w:rPr>
        <w:noProof/>
      </w:rPr>
      <w:drawing>
        <wp:anchor distT="0" distB="0" distL="114300" distR="114300" simplePos="0" relativeHeight="251659264" behindDoc="0" locked="1" layoutInCell="1" allowOverlap="1">
          <wp:simplePos x="0" y="0"/>
          <wp:positionH relativeFrom="page">
            <wp:posOffset>2520315</wp:posOffset>
          </wp:positionH>
          <wp:positionV relativeFrom="page">
            <wp:posOffset>9923780</wp:posOffset>
          </wp:positionV>
          <wp:extent cx="1647825" cy="308610"/>
          <wp:effectExtent l="0" t="0" r="9525" b="0"/>
          <wp:wrapNone/>
          <wp:docPr id="39" name="obrázek 39" descr="poli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olic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308610"/>
                  </a:xfrm>
                  <a:prstGeom prst="rect">
                    <a:avLst/>
                  </a:prstGeom>
                  <a:noFill/>
                </pic:spPr>
              </pic:pic>
            </a:graphicData>
          </a:graphic>
          <wp14:sizeRelH relativeFrom="page">
            <wp14:pctWidth>0</wp14:pctWidth>
          </wp14:sizeRelH>
          <wp14:sizeRelV relativeFrom="page">
            <wp14:pctHeight>0</wp14:pctHeight>
          </wp14:sizeRelV>
        </wp:anchor>
      </w:drawing>
    </w:r>
    <w:r w:rsidR="003033CD">
      <w:t xml:space="preserve">Email: </w:t>
    </w:r>
    <w:hyperlink r:id="rId2" w:history="1">
      <w:r w:rsidR="00D02C5D" w:rsidRPr="00BA2261">
        <w:rPr>
          <w:rStyle w:val="Hypertextovodkaz"/>
        </w:rPr>
        <w:t>krpt.prevence@pcr.cz</w:t>
      </w:r>
    </w:hyperlink>
  </w:p>
  <w:p w:rsidR="00D02C5D" w:rsidRDefault="00D02C5D">
    <w:pPr>
      <w:pStyle w:val="Zpat"/>
    </w:pPr>
    <w:r>
      <w:t xml:space="preserve">           </w:t>
    </w:r>
    <w:hyperlink r:id="rId3" w:history="1">
      <w:r w:rsidRPr="00BA2261">
        <w:rPr>
          <w:rStyle w:val="Hypertextovodkaz"/>
        </w:rPr>
        <w:t>lucie.galiova</w:t>
      </w:r>
      <w:r w:rsidRPr="00BA2261">
        <w:rPr>
          <w:rStyle w:val="Hypertextovodkaz"/>
          <w:rFonts w:cs="Arial"/>
        </w:rPr>
        <w:t>@</w:t>
      </w:r>
      <w:r w:rsidRPr="00BA2261">
        <w:rPr>
          <w:rStyle w:val="Hypertextovodkaz"/>
        </w:rPr>
        <w:t>pcr.cz</w:t>
      </w:r>
    </w:hyperlink>
  </w:p>
  <w:p w:rsidR="00D02C5D" w:rsidRDefault="00D02C5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BED" w:rsidRDefault="00504BED">
      <w:r>
        <w:separator/>
      </w:r>
    </w:p>
  </w:footnote>
  <w:footnote w:type="continuationSeparator" w:id="0">
    <w:p w:rsidR="00504BED" w:rsidRDefault="00504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3CD" w:rsidRDefault="009C05A9" w:rsidP="001634F4">
    <w:pPr>
      <w:pStyle w:val="n3"/>
    </w:pPr>
    <w:r>
      <w:drawing>
        <wp:anchor distT="0" distB="0" distL="114300" distR="114300" simplePos="0" relativeHeight="251660288" behindDoc="1" locked="1" layoutInCell="1" allowOverlap="1">
          <wp:simplePos x="0" y="0"/>
          <wp:positionH relativeFrom="page">
            <wp:posOffset>720090</wp:posOffset>
          </wp:positionH>
          <wp:positionV relativeFrom="page">
            <wp:posOffset>360045</wp:posOffset>
          </wp:positionV>
          <wp:extent cx="6134735" cy="1275715"/>
          <wp:effectExtent l="0" t="0" r="0" b="635"/>
          <wp:wrapNone/>
          <wp:docPr id="38" name="obrázek 3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735" cy="1275715"/>
                  </a:xfrm>
                  <a:prstGeom prst="rect">
                    <a:avLst/>
                  </a:prstGeom>
                  <a:noFill/>
                </pic:spPr>
              </pic:pic>
            </a:graphicData>
          </a:graphic>
          <wp14:sizeRelH relativeFrom="page">
            <wp14:pctWidth>0</wp14:pctWidth>
          </wp14:sizeRelH>
          <wp14:sizeRelV relativeFrom="page">
            <wp14:pctHeight>0</wp14:pctHeight>
          </wp14:sizeRelV>
        </wp:anchor>
      </w:drawing>
    </w:r>
  </w:p>
  <w:tbl>
    <w:tblPr>
      <w:tblW w:w="9639" w:type="dxa"/>
      <w:tblLayout w:type="fixed"/>
      <w:tblCellMar>
        <w:left w:w="0" w:type="dxa"/>
        <w:right w:w="0" w:type="dxa"/>
      </w:tblCellMar>
      <w:tblLook w:val="01E0" w:firstRow="1" w:lastRow="1" w:firstColumn="1" w:lastColumn="1" w:noHBand="0" w:noVBand="0"/>
    </w:tblPr>
    <w:tblGrid>
      <w:gridCol w:w="2155"/>
      <w:gridCol w:w="170"/>
      <w:gridCol w:w="7314"/>
    </w:tblGrid>
    <w:tr w:rsidR="00860B48" w:rsidTr="00860B48">
      <w:trPr>
        <w:trHeight w:val="1644"/>
      </w:trPr>
      <w:tc>
        <w:tcPr>
          <w:tcW w:w="2155" w:type="dxa"/>
          <w:vAlign w:val="bottom"/>
        </w:tcPr>
        <w:p w:rsidR="004C509E" w:rsidRDefault="004C509E" w:rsidP="003E0E50">
          <w:pPr>
            <w:pStyle w:val="Zhlav"/>
          </w:pPr>
        </w:p>
      </w:tc>
      <w:tc>
        <w:tcPr>
          <w:tcW w:w="170" w:type="dxa"/>
          <w:tcBorders>
            <w:left w:val="nil"/>
          </w:tcBorders>
          <w:vAlign w:val="bottom"/>
        </w:tcPr>
        <w:p w:rsidR="004C509E" w:rsidRPr="00BD37AC" w:rsidRDefault="004C509E" w:rsidP="003E0E50">
          <w:pPr>
            <w:pStyle w:val="Zhlav"/>
          </w:pPr>
        </w:p>
      </w:tc>
      <w:tc>
        <w:tcPr>
          <w:tcW w:w="7314" w:type="dxa"/>
          <w:vAlign w:val="bottom"/>
        </w:tcPr>
        <w:p w:rsidR="00953C55" w:rsidRDefault="004D2BEB" w:rsidP="003E0E50">
          <w:pPr>
            <w:pStyle w:val="Zhlav"/>
          </w:pPr>
          <w:r>
            <w:t>Policie Č</w:t>
          </w:r>
          <w:r w:rsidR="00953C55">
            <w:t>eské republiky</w:t>
          </w:r>
        </w:p>
        <w:p w:rsidR="004D2BEB" w:rsidRDefault="004D2BEB" w:rsidP="003E0E50">
          <w:pPr>
            <w:pStyle w:val="Zhlav"/>
          </w:pPr>
          <w:r>
            <w:t>KRAJSKÉ ŘEDITELSTVÍ POLICIE MORAVSKOSLEZSKÉHO KRAJE</w:t>
          </w:r>
        </w:p>
        <w:p w:rsidR="00F2713B" w:rsidRDefault="00F2713B" w:rsidP="003E0E50">
          <w:pPr>
            <w:pStyle w:val="Zhlav"/>
          </w:pPr>
        </w:p>
        <w:p w:rsidR="004C509E" w:rsidRDefault="004D2BEB" w:rsidP="003E0E50">
          <w:pPr>
            <w:pStyle w:val="Zahlavi2"/>
          </w:pPr>
          <w:r>
            <w:t>kancelář ředitele</w:t>
          </w:r>
          <w:r w:rsidR="00953C55">
            <w:t xml:space="preserve"> krajského ředitelství</w:t>
          </w:r>
        </w:p>
        <w:p w:rsidR="004C509E" w:rsidRPr="006867E9" w:rsidRDefault="00281F8A" w:rsidP="003E0E50">
          <w:pPr>
            <w:pStyle w:val="Zahlavi3"/>
          </w:pPr>
          <w:r>
            <w:t xml:space="preserve">oddělení </w:t>
          </w:r>
          <w:r w:rsidR="004D2BEB">
            <w:t>prevence</w:t>
          </w:r>
        </w:p>
      </w:tc>
    </w:tr>
    <w:tr w:rsidR="00860B48" w:rsidTr="00860B48">
      <w:trPr>
        <w:trHeight w:val="851"/>
      </w:trPr>
      <w:tc>
        <w:tcPr>
          <w:tcW w:w="2155" w:type="dxa"/>
        </w:tcPr>
        <w:p w:rsidR="003033CD" w:rsidRDefault="003033CD" w:rsidP="00776A76">
          <w:pPr>
            <w:pStyle w:val="Zhlav"/>
          </w:pPr>
        </w:p>
      </w:tc>
      <w:tc>
        <w:tcPr>
          <w:tcW w:w="170" w:type="dxa"/>
          <w:tcBorders>
            <w:left w:val="nil"/>
          </w:tcBorders>
        </w:tcPr>
        <w:p w:rsidR="003033CD" w:rsidRPr="00BD37AC" w:rsidRDefault="003033CD" w:rsidP="00652F98">
          <w:pPr>
            <w:pStyle w:val="Zhlav"/>
          </w:pPr>
        </w:p>
      </w:tc>
      <w:tc>
        <w:tcPr>
          <w:tcW w:w="7314" w:type="dxa"/>
          <w:vAlign w:val="bottom"/>
        </w:tcPr>
        <w:p w:rsidR="003033CD" w:rsidRPr="006867E9" w:rsidRDefault="003033CD" w:rsidP="005B2342">
          <w:pPr>
            <w:pStyle w:val="Zahlavi3"/>
          </w:pPr>
        </w:p>
      </w:tc>
    </w:tr>
  </w:tbl>
  <w:p w:rsidR="003033CD" w:rsidRDefault="009C05A9">
    <w:pPr>
      <w:pStyle w:val="Zhlav"/>
    </w:pPr>
    <w:r>
      <w:rPr>
        <w:noProof/>
      </w:rPr>
      <mc:AlternateContent>
        <mc:Choice Requires="wps">
          <w:drawing>
            <wp:anchor distT="0" distB="0" distL="114300" distR="114300" simplePos="0" relativeHeight="251655168" behindDoc="0" locked="1" layoutInCell="1" allowOverlap="1">
              <wp:simplePos x="0" y="0"/>
              <wp:positionH relativeFrom="page">
                <wp:posOffset>6320155</wp:posOffset>
              </wp:positionH>
              <wp:positionV relativeFrom="page">
                <wp:posOffset>356870</wp:posOffset>
              </wp:positionV>
              <wp:extent cx="514350" cy="561975"/>
              <wp:effectExtent l="5080" t="13970" r="13970" b="1143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61975"/>
                      </a:xfrm>
                      <a:prstGeom prst="rect">
                        <a:avLst/>
                      </a:prstGeom>
                      <a:solidFill>
                        <a:srgbClr val="FFFFFF"/>
                      </a:solidFill>
                      <a:ln w="9525">
                        <a:solidFill>
                          <a:srgbClr val="FFFFFF"/>
                        </a:solidFill>
                        <a:miter lim="800000"/>
                        <a:headEnd/>
                        <a:tailEnd/>
                      </a:ln>
                    </wps:spPr>
                    <wps:txbx>
                      <w:txbxContent>
                        <w:p w:rsidR="003033CD" w:rsidRDefault="009C05A9" w:rsidP="00866422">
                          <w:r>
                            <w:rPr>
                              <w:caps/>
                              <w:noProof/>
                            </w:rPr>
                            <w:drawing>
                              <wp:inline distT="0" distB="0" distL="0" distR="0">
                                <wp:extent cx="504825" cy="552450"/>
                                <wp:effectExtent l="0" t="0" r="9525" b="0"/>
                                <wp:docPr id="5" name="obrázek 1" descr="Severnímorava - Moravskoslezsk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ernímorava - Moravskoslezský"/>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5524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497.65pt;margin-top:28.1pt;width:40.5pt;height:44.25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0UYGgIAAD4EAAAOAAAAZHJzL2Uyb0RvYy54bWysU1Fv0zAQfkfiP1h+p2kLGVvUdBodRUgb&#10;IG38AMdxEgvbZ9luk/LrOTtJV8ELQvjBOvvOn7/77m5zO2hFjsJ5Caakq8WSEmE41NK0Jf3+vH9z&#10;TYkPzNRMgRElPQlPb7evX216W4g1dKBq4QiCGF/0tqRdCLbIMs87oZlfgBUGnQ04zQIeXZvVjvWI&#10;rlW2Xi6vsh5cbR1w4T3e3o9Ouk34TSN4+No0XgSiSorcQtpd2qu4Z9sNK1rHbCf5RIP9AwvNpMFP&#10;z1D3LDBycPIPKC25Aw9NWHDQGTSN5CLlgNmslr9l89QxK1IuKI63Z5n8/4PlX47fHJE11o4SwzSW&#10;6FkMgXyAgazXUZ7e+gKjnizGhQHvY2hM1dsH4D88MbDrmGnFnXPQd4LVSG8VX2YXT0ccH0Gq/hFq&#10;/IcdAiSgoXE6AqIaBNGxTKdzaSIXjpf56t3bHD0cXfnV6uZ9nn5gxfzYOh8+CdAkGiV1WPkEzo4P&#10;PkQyrJhDEnlQst5LpdLBtdVOOXJk2CX7tCZ0fxmmDOlLepOv8zH/S5//OwgtA7a7krqk18u44j+s&#10;iKp9NHWyA5NqtJGyMpOMUblRwzBUAwZGbSuoTyiog7GtcQzR6MD9pKTHli6pwZmjRH02WJLY/bPh&#10;ZqOaDWY4PixpoGQ0d2GckoN1su0Qdy76HZZtL5OkLxwmltikSelpoOIUXJ5T1MvYb38BAAD//wMA&#10;UEsDBBQABgAIAAAAIQDwvtkc4AAAAAsBAAAPAAAAZHJzL2Rvd25yZXYueG1sTI9NT8JAEIbvJv6H&#10;zZh4k618FCndEmLiSS6Ciddtd+gWurO1u0D11zuc8DYfT955Jl8NrhVn7EPjScHzKAGBVHnTUK3g&#10;c/f29AIiRE1Gt55QwQ8GWBX3d7nOjL/QB563sRYcQiHTCmyMXSZlqCw6HUa+Q+Ld3vdOR277Wppe&#10;XzjctXKcJKl0uiG+YHWHrxar4/bkFHzZ9FhvSvm7WZeH6nsSDkjvO6UeH4b1EkTEId5guOqzOhTs&#10;VPoTmSBaBYvFbMKoglk6BnEFknnKk5Kr6XQOssjl/x+KPwAAAP//AwBQSwECLQAUAAYACAAAACEA&#10;toM4kv4AAADhAQAAEwAAAAAAAAAAAAAAAAAAAAAAW0NvbnRlbnRfVHlwZXNdLnhtbFBLAQItABQA&#10;BgAIAAAAIQA4/SH/1gAAAJQBAAALAAAAAAAAAAAAAAAAAC8BAABfcmVscy8ucmVsc1BLAQItABQA&#10;BgAIAAAAIQB520UYGgIAAD4EAAAOAAAAAAAAAAAAAAAAAC4CAABkcnMvZTJvRG9jLnhtbFBLAQIt&#10;ABQABgAIAAAAIQDwvtkc4AAAAAsBAAAPAAAAAAAAAAAAAAAAAHQEAABkcnMvZG93bnJldi54bWxQ&#10;SwUGAAAAAAQABADzAAAAgQUAAAAA&#10;" strokecolor="white">
              <v:textbox style="mso-fit-shape-to-text:t" inset="0,0,0,0">
                <w:txbxContent>
                  <w:p w:rsidR="003033CD" w:rsidRDefault="009C05A9" w:rsidP="00866422">
                    <w:r>
                      <w:rPr>
                        <w:caps/>
                        <w:noProof/>
                      </w:rPr>
                      <w:drawing>
                        <wp:inline distT="0" distB="0" distL="0" distR="0">
                          <wp:extent cx="504825" cy="552450"/>
                          <wp:effectExtent l="0" t="0" r="9525" b="0"/>
                          <wp:docPr id="5" name="obrázek 1" descr="Severnímorava - Moravskoslezsk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ernímorava - Moravskoslezský"/>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4825" cy="552450"/>
                                  </a:xfrm>
                                  <a:prstGeom prst="rect">
                                    <a:avLst/>
                                  </a:prstGeom>
                                  <a:noFill/>
                                  <a:ln>
                                    <a:noFill/>
                                  </a:ln>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A706B"/>
    <w:multiLevelType w:val="hybridMultilevel"/>
    <w:tmpl w:val="EF5E7E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116E53BB"/>
    <w:multiLevelType w:val="hybridMultilevel"/>
    <w:tmpl w:val="E8D0F44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26511D65"/>
    <w:multiLevelType w:val="hybridMultilevel"/>
    <w:tmpl w:val="84960EE0"/>
    <w:lvl w:ilvl="0" w:tplc="F80C9F3E">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36CF635B"/>
    <w:multiLevelType w:val="hybridMultilevel"/>
    <w:tmpl w:val="A356BA9A"/>
    <w:lvl w:ilvl="0" w:tplc="409C0C0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DA77E07"/>
    <w:multiLevelType w:val="hybridMultilevel"/>
    <w:tmpl w:val="8436B17A"/>
    <w:lvl w:ilvl="0" w:tplc="5428EB1E">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3E06209E"/>
    <w:multiLevelType w:val="hybridMultilevel"/>
    <w:tmpl w:val="B4860EFC"/>
    <w:lvl w:ilvl="0" w:tplc="2118F1E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f6bfd9,#1d1d1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5A9"/>
    <w:rsid w:val="000047C7"/>
    <w:rsid w:val="000052BB"/>
    <w:rsid w:val="00017B94"/>
    <w:rsid w:val="00037621"/>
    <w:rsid w:val="000522B0"/>
    <w:rsid w:val="00085FD2"/>
    <w:rsid w:val="0009055C"/>
    <w:rsid w:val="000A74DA"/>
    <w:rsid w:val="000B6E14"/>
    <w:rsid w:val="000C5AEC"/>
    <w:rsid w:val="000C5E1D"/>
    <w:rsid w:val="000D7A75"/>
    <w:rsid w:val="000E55AB"/>
    <w:rsid w:val="000F1344"/>
    <w:rsid w:val="00107854"/>
    <w:rsid w:val="001275D9"/>
    <w:rsid w:val="00135E71"/>
    <w:rsid w:val="001634F4"/>
    <w:rsid w:val="00166B7A"/>
    <w:rsid w:val="00176E76"/>
    <w:rsid w:val="001853D9"/>
    <w:rsid w:val="00197CDE"/>
    <w:rsid w:val="001A797D"/>
    <w:rsid w:val="001C4E5C"/>
    <w:rsid w:val="001C5683"/>
    <w:rsid w:val="001D65A2"/>
    <w:rsid w:val="001E7841"/>
    <w:rsid w:val="001F22B7"/>
    <w:rsid w:val="001F3DA8"/>
    <w:rsid w:val="00201308"/>
    <w:rsid w:val="00207D29"/>
    <w:rsid w:val="00210F4C"/>
    <w:rsid w:val="002251F8"/>
    <w:rsid w:val="002438F1"/>
    <w:rsid w:val="0026523C"/>
    <w:rsid w:val="00281F8A"/>
    <w:rsid w:val="002A408F"/>
    <w:rsid w:val="002D14F9"/>
    <w:rsid w:val="002D1ABB"/>
    <w:rsid w:val="002E1C8E"/>
    <w:rsid w:val="002E7A5F"/>
    <w:rsid w:val="003033CD"/>
    <w:rsid w:val="0031453B"/>
    <w:rsid w:val="0033047A"/>
    <w:rsid w:val="00335458"/>
    <w:rsid w:val="00355976"/>
    <w:rsid w:val="00380C7E"/>
    <w:rsid w:val="003838FA"/>
    <w:rsid w:val="00387D5E"/>
    <w:rsid w:val="00393CF3"/>
    <w:rsid w:val="00394D69"/>
    <w:rsid w:val="003B0197"/>
    <w:rsid w:val="003C2C10"/>
    <w:rsid w:val="003E0E50"/>
    <w:rsid w:val="003F70BD"/>
    <w:rsid w:val="0040129D"/>
    <w:rsid w:val="00404627"/>
    <w:rsid w:val="00476DDB"/>
    <w:rsid w:val="00492497"/>
    <w:rsid w:val="004B4642"/>
    <w:rsid w:val="004B5AA5"/>
    <w:rsid w:val="004C509E"/>
    <w:rsid w:val="004D2726"/>
    <w:rsid w:val="004D2BEB"/>
    <w:rsid w:val="004D3A46"/>
    <w:rsid w:val="004D4994"/>
    <w:rsid w:val="004F4D70"/>
    <w:rsid w:val="004F6754"/>
    <w:rsid w:val="00504BED"/>
    <w:rsid w:val="0052552C"/>
    <w:rsid w:val="00533498"/>
    <w:rsid w:val="00550967"/>
    <w:rsid w:val="005527C1"/>
    <w:rsid w:val="0055746C"/>
    <w:rsid w:val="00577068"/>
    <w:rsid w:val="005A292B"/>
    <w:rsid w:val="005B1BF0"/>
    <w:rsid w:val="005B2342"/>
    <w:rsid w:val="005C020E"/>
    <w:rsid w:val="005E09B3"/>
    <w:rsid w:val="005E176B"/>
    <w:rsid w:val="005E6052"/>
    <w:rsid w:val="00605452"/>
    <w:rsid w:val="00607390"/>
    <w:rsid w:val="00607E25"/>
    <w:rsid w:val="00610AAC"/>
    <w:rsid w:val="00613514"/>
    <w:rsid w:val="00652F98"/>
    <w:rsid w:val="00655EDC"/>
    <w:rsid w:val="006659FB"/>
    <w:rsid w:val="00685018"/>
    <w:rsid w:val="006867E9"/>
    <w:rsid w:val="00687406"/>
    <w:rsid w:val="006B1A86"/>
    <w:rsid w:val="006B63F7"/>
    <w:rsid w:val="006C13C9"/>
    <w:rsid w:val="006C29C4"/>
    <w:rsid w:val="006E701B"/>
    <w:rsid w:val="006F0F0D"/>
    <w:rsid w:val="006F1EDB"/>
    <w:rsid w:val="006F77D9"/>
    <w:rsid w:val="00713CE4"/>
    <w:rsid w:val="007351CF"/>
    <w:rsid w:val="00760B28"/>
    <w:rsid w:val="0077115F"/>
    <w:rsid w:val="00776A76"/>
    <w:rsid w:val="0078035B"/>
    <w:rsid w:val="0079664B"/>
    <w:rsid w:val="007A5A12"/>
    <w:rsid w:val="007B5228"/>
    <w:rsid w:val="007C0B18"/>
    <w:rsid w:val="007C3E60"/>
    <w:rsid w:val="007C71B0"/>
    <w:rsid w:val="007D234D"/>
    <w:rsid w:val="007D6D61"/>
    <w:rsid w:val="007F55A2"/>
    <w:rsid w:val="00800DDD"/>
    <w:rsid w:val="0080548A"/>
    <w:rsid w:val="0080750F"/>
    <w:rsid w:val="00812E88"/>
    <w:rsid w:val="00812FED"/>
    <w:rsid w:val="00826865"/>
    <w:rsid w:val="008276A4"/>
    <w:rsid w:val="008304C9"/>
    <w:rsid w:val="00833FE5"/>
    <w:rsid w:val="00851385"/>
    <w:rsid w:val="008523A4"/>
    <w:rsid w:val="00856EF5"/>
    <w:rsid w:val="00860B48"/>
    <w:rsid w:val="00866422"/>
    <w:rsid w:val="0087268C"/>
    <w:rsid w:val="00873401"/>
    <w:rsid w:val="008747DD"/>
    <w:rsid w:val="00895395"/>
    <w:rsid w:val="008B113D"/>
    <w:rsid w:val="008B6BDC"/>
    <w:rsid w:val="008C501E"/>
    <w:rsid w:val="008D239C"/>
    <w:rsid w:val="008F6718"/>
    <w:rsid w:val="009206AE"/>
    <w:rsid w:val="009229FB"/>
    <w:rsid w:val="0092632C"/>
    <w:rsid w:val="0093501E"/>
    <w:rsid w:val="00937C81"/>
    <w:rsid w:val="00953C55"/>
    <w:rsid w:val="009548A6"/>
    <w:rsid w:val="009632E9"/>
    <w:rsid w:val="00963E32"/>
    <w:rsid w:val="00985262"/>
    <w:rsid w:val="009858E6"/>
    <w:rsid w:val="00987705"/>
    <w:rsid w:val="009915D3"/>
    <w:rsid w:val="00993CA8"/>
    <w:rsid w:val="00996AE6"/>
    <w:rsid w:val="009A2489"/>
    <w:rsid w:val="009A4376"/>
    <w:rsid w:val="009C05A9"/>
    <w:rsid w:val="009C2079"/>
    <w:rsid w:val="009D7F43"/>
    <w:rsid w:val="009F46F6"/>
    <w:rsid w:val="00A00782"/>
    <w:rsid w:val="00A205F4"/>
    <w:rsid w:val="00AA4972"/>
    <w:rsid w:val="00AA5393"/>
    <w:rsid w:val="00AB4170"/>
    <w:rsid w:val="00AD1462"/>
    <w:rsid w:val="00AD335B"/>
    <w:rsid w:val="00AF0B13"/>
    <w:rsid w:val="00B05436"/>
    <w:rsid w:val="00B17289"/>
    <w:rsid w:val="00B32083"/>
    <w:rsid w:val="00B3241A"/>
    <w:rsid w:val="00B35D62"/>
    <w:rsid w:val="00B56FF8"/>
    <w:rsid w:val="00B601BA"/>
    <w:rsid w:val="00B77A9B"/>
    <w:rsid w:val="00B77FF3"/>
    <w:rsid w:val="00BA563D"/>
    <w:rsid w:val="00BB5EB4"/>
    <w:rsid w:val="00BD37AC"/>
    <w:rsid w:val="00BD6A14"/>
    <w:rsid w:val="00BE2117"/>
    <w:rsid w:val="00BE5AF8"/>
    <w:rsid w:val="00C02632"/>
    <w:rsid w:val="00C12AB3"/>
    <w:rsid w:val="00C367A2"/>
    <w:rsid w:val="00C472C7"/>
    <w:rsid w:val="00C57DBF"/>
    <w:rsid w:val="00C615E8"/>
    <w:rsid w:val="00C70864"/>
    <w:rsid w:val="00C70F2F"/>
    <w:rsid w:val="00C915D8"/>
    <w:rsid w:val="00CA476C"/>
    <w:rsid w:val="00CB2BE4"/>
    <w:rsid w:val="00CB7927"/>
    <w:rsid w:val="00CC3F07"/>
    <w:rsid w:val="00CC663D"/>
    <w:rsid w:val="00CD4493"/>
    <w:rsid w:val="00CE5ACC"/>
    <w:rsid w:val="00CF5BA6"/>
    <w:rsid w:val="00D02C5D"/>
    <w:rsid w:val="00D0446A"/>
    <w:rsid w:val="00D25EBC"/>
    <w:rsid w:val="00D27EC7"/>
    <w:rsid w:val="00D53355"/>
    <w:rsid w:val="00D56255"/>
    <w:rsid w:val="00D63BC5"/>
    <w:rsid w:val="00D77142"/>
    <w:rsid w:val="00D9194D"/>
    <w:rsid w:val="00D93844"/>
    <w:rsid w:val="00DB6D01"/>
    <w:rsid w:val="00DC1673"/>
    <w:rsid w:val="00DE385F"/>
    <w:rsid w:val="00DF7105"/>
    <w:rsid w:val="00E0224F"/>
    <w:rsid w:val="00E31291"/>
    <w:rsid w:val="00E324F5"/>
    <w:rsid w:val="00E55D1A"/>
    <w:rsid w:val="00E56EE2"/>
    <w:rsid w:val="00E6173C"/>
    <w:rsid w:val="00E66E9B"/>
    <w:rsid w:val="00E83B4F"/>
    <w:rsid w:val="00EA7854"/>
    <w:rsid w:val="00EC3E8B"/>
    <w:rsid w:val="00ED7481"/>
    <w:rsid w:val="00F02C62"/>
    <w:rsid w:val="00F04AAB"/>
    <w:rsid w:val="00F06305"/>
    <w:rsid w:val="00F06757"/>
    <w:rsid w:val="00F2405B"/>
    <w:rsid w:val="00F2713B"/>
    <w:rsid w:val="00F30ED6"/>
    <w:rsid w:val="00F375A1"/>
    <w:rsid w:val="00F52774"/>
    <w:rsid w:val="00F52BC3"/>
    <w:rsid w:val="00F546C4"/>
    <w:rsid w:val="00F6710B"/>
    <w:rsid w:val="00F722FB"/>
    <w:rsid w:val="00F73351"/>
    <w:rsid w:val="00F7570E"/>
    <w:rsid w:val="00F8130A"/>
    <w:rsid w:val="00FA35C2"/>
    <w:rsid w:val="00FB7A58"/>
    <w:rsid w:val="00FE22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6bfd9,#1d1d1b"/>
    </o:shapedefaults>
    <o:shapelayout v:ext="edit">
      <o:idmap v:ext="edit" data="1"/>
    </o:shapelayout>
  </w:shapeDefaults>
  <w:decimalSymbol w:val=","/>
  <w:listSeparator w:val=";"/>
  <w14:docId w14:val="13535694"/>
  <w15:docId w15:val="{F696F667-536A-4E94-8980-AFA445F4D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0B13"/>
    <w:pPr>
      <w:spacing w:line="260" w:lineRule="atLeast"/>
    </w:pPr>
    <w:rPr>
      <w:rFonts w:ascii="Arial" w:hAnsi="Arial"/>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52774"/>
    <w:pPr>
      <w:tabs>
        <w:tab w:val="center" w:pos="4536"/>
        <w:tab w:val="right" w:pos="9072"/>
      </w:tabs>
      <w:spacing w:line="200" w:lineRule="atLeast"/>
      <w:ind w:right="1021"/>
    </w:pPr>
    <w:rPr>
      <w:caps/>
      <w:sz w:val="20"/>
    </w:rPr>
  </w:style>
  <w:style w:type="paragraph" w:styleId="Zpat">
    <w:name w:val="footer"/>
    <w:basedOn w:val="Normln"/>
    <w:rsid w:val="00F2713B"/>
    <w:pPr>
      <w:spacing w:line="240" w:lineRule="atLeast"/>
      <w:ind w:left="6067"/>
    </w:pPr>
    <w:rPr>
      <w:sz w:val="20"/>
    </w:rPr>
  </w:style>
  <w:style w:type="table" w:styleId="Mkatabulky">
    <w:name w:val="Table Grid"/>
    <w:basedOn w:val="Normlntabulka"/>
    <w:rsid w:val="00812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hlavi3">
    <w:name w:val="Zahlavi_3"/>
    <w:basedOn w:val="Zhlav"/>
    <w:rsid w:val="003E0E50"/>
    <w:rPr>
      <w:caps w:val="0"/>
    </w:rPr>
  </w:style>
  <w:style w:type="paragraph" w:customStyle="1" w:styleId="Zahlavi2">
    <w:name w:val="Zahlavi_2"/>
    <w:basedOn w:val="Zhlav"/>
    <w:rsid w:val="001F3DA8"/>
    <w:rPr>
      <w:caps w:val="0"/>
    </w:rPr>
  </w:style>
  <w:style w:type="paragraph" w:customStyle="1" w:styleId="Zahlavi4">
    <w:name w:val="Zahlavi_4"/>
    <w:basedOn w:val="Zhlav"/>
    <w:rsid w:val="00BA563D"/>
  </w:style>
  <w:style w:type="paragraph" w:customStyle="1" w:styleId="n3">
    <w:name w:val="n3"/>
    <w:basedOn w:val="Normln"/>
    <w:rsid w:val="001634F4"/>
    <w:pPr>
      <w:spacing w:line="60" w:lineRule="atLeast"/>
    </w:pPr>
    <w:rPr>
      <w:noProof/>
      <w:sz w:val="6"/>
    </w:rPr>
  </w:style>
  <w:style w:type="character" w:styleId="slostrnky">
    <w:name w:val="page number"/>
    <w:basedOn w:val="Standardnpsmoodstavce"/>
    <w:rsid w:val="005C020E"/>
  </w:style>
  <w:style w:type="paragraph" w:styleId="Textbubliny">
    <w:name w:val="Balloon Text"/>
    <w:basedOn w:val="Normln"/>
    <w:link w:val="TextbublinyChar"/>
    <w:semiHidden/>
    <w:unhideWhenUsed/>
    <w:rsid w:val="008304C9"/>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semiHidden/>
    <w:rsid w:val="008304C9"/>
    <w:rPr>
      <w:rFonts w:ascii="Segoe UI" w:hAnsi="Segoe UI" w:cs="Segoe UI"/>
      <w:sz w:val="18"/>
      <w:szCs w:val="18"/>
    </w:rPr>
  </w:style>
  <w:style w:type="character" w:styleId="Hypertextovodkaz">
    <w:name w:val="Hyperlink"/>
    <w:basedOn w:val="Standardnpsmoodstavce"/>
    <w:uiPriority w:val="99"/>
    <w:unhideWhenUsed/>
    <w:rsid w:val="00380C7E"/>
    <w:rPr>
      <w:color w:val="0000FF"/>
      <w:u w:val="single"/>
    </w:rPr>
  </w:style>
  <w:style w:type="paragraph" w:styleId="Normlnweb">
    <w:name w:val="Normal (Web)"/>
    <w:basedOn w:val="Normln"/>
    <w:uiPriority w:val="99"/>
    <w:unhideWhenUsed/>
    <w:rsid w:val="00ED7481"/>
    <w:pPr>
      <w:spacing w:before="100" w:beforeAutospacing="1" w:after="100" w:afterAutospacing="1" w:line="240" w:lineRule="auto"/>
    </w:pPr>
    <w:rPr>
      <w:rFonts w:ascii="Times New Roman" w:hAnsi="Times New Roman"/>
      <w:sz w:val="24"/>
    </w:rPr>
  </w:style>
  <w:style w:type="paragraph" w:styleId="Odstavecseseznamem">
    <w:name w:val="List Paragraph"/>
    <w:basedOn w:val="Normln"/>
    <w:uiPriority w:val="34"/>
    <w:qFormat/>
    <w:rsid w:val="00CB2BE4"/>
    <w:pPr>
      <w:spacing w:after="160" w:line="256" w:lineRule="auto"/>
      <w:ind w:left="720"/>
      <w:contextualSpacing/>
    </w:pPr>
    <w:rPr>
      <w:rFonts w:asciiTheme="minorHAnsi" w:eastAsiaTheme="minorHAnsi" w:hAnsiTheme="minorHAnsi" w:cstheme="minorBidi"/>
      <w:szCs w:val="22"/>
      <w:lang w:eastAsia="en-US"/>
    </w:rPr>
  </w:style>
  <w:style w:type="character" w:customStyle="1" w:styleId="data">
    <w:name w:val="_data"/>
    <w:uiPriority w:val="99"/>
    <w:rsid w:val="008C501E"/>
    <w:rPr>
      <w:rFonts w:ascii="Times New Roman" w:hAnsi="Times New Roman"/>
      <w:spacing w:val="0"/>
      <w:kern w:val="0"/>
      <w:sz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205149">
      <w:bodyDiv w:val="1"/>
      <w:marLeft w:val="0"/>
      <w:marRight w:val="0"/>
      <w:marTop w:val="0"/>
      <w:marBottom w:val="0"/>
      <w:divBdr>
        <w:top w:val="none" w:sz="0" w:space="0" w:color="auto"/>
        <w:left w:val="none" w:sz="0" w:space="0" w:color="auto"/>
        <w:bottom w:val="none" w:sz="0" w:space="0" w:color="auto"/>
        <w:right w:val="none" w:sz="0" w:space="0" w:color="auto"/>
      </w:divBdr>
    </w:div>
    <w:div w:id="352809984">
      <w:bodyDiv w:val="1"/>
      <w:marLeft w:val="0"/>
      <w:marRight w:val="0"/>
      <w:marTop w:val="0"/>
      <w:marBottom w:val="0"/>
      <w:divBdr>
        <w:top w:val="none" w:sz="0" w:space="0" w:color="auto"/>
        <w:left w:val="none" w:sz="0" w:space="0" w:color="auto"/>
        <w:bottom w:val="none" w:sz="0" w:space="0" w:color="auto"/>
        <w:right w:val="none" w:sz="0" w:space="0" w:color="auto"/>
      </w:divBdr>
    </w:div>
    <w:div w:id="436944127">
      <w:bodyDiv w:val="1"/>
      <w:marLeft w:val="0"/>
      <w:marRight w:val="0"/>
      <w:marTop w:val="0"/>
      <w:marBottom w:val="0"/>
      <w:divBdr>
        <w:top w:val="none" w:sz="0" w:space="0" w:color="auto"/>
        <w:left w:val="none" w:sz="0" w:space="0" w:color="auto"/>
        <w:bottom w:val="none" w:sz="0" w:space="0" w:color="auto"/>
        <w:right w:val="none" w:sz="0" w:space="0" w:color="auto"/>
      </w:divBdr>
      <w:divsChild>
        <w:div w:id="810364092">
          <w:marLeft w:val="0"/>
          <w:marRight w:val="0"/>
          <w:marTop w:val="0"/>
          <w:marBottom w:val="0"/>
          <w:divBdr>
            <w:top w:val="none" w:sz="0" w:space="0" w:color="auto"/>
            <w:left w:val="none" w:sz="0" w:space="0" w:color="auto"/>
            <w:bottom w:val="none" w:sz="0" w:space="0" w:color="auto"/>
            <w:right w:val="none" w:sz="0" w:space="0" w:color="auto"/>
          </w:divBdr>
        </w:div>
        <w:div w:id="1125077376">
          <w:marLeft w:val="0"/>
          <w:marRight w:val="0"/>
          <w:marTop w:val="0"/>
          <w:marBottom w:val="0"/>
          <w:divBdr>
            <w:top w:val="none" w:sz="0" w:space="0" w:color="auto"/>
            <w:left w:val="none" w:sz="0" w:space="0" w:color="auto"/>
            <w:bottom w:val="none" w:sz="0" w:space="0" w:color="auto"/>
            <w:right w:val="none" w:sz="0" w:space="0" w:color="auto"/>
          </w:divBdr>
        </w:div>
      </w:divsChild>
    </w:div>
    <w:div w:id="661929137">
      <w:bodyDiv w:val="1"/>
      <w:marLeft w:val="0"/>
      <w:marRight w:val="0"/>
      <w:marTop w:val="0"/>
      <w:marBottom w:val="0"/>
      <w:divBdr>
        <w:top w:val="none" w:sz="0" w:space="0" w:color="auto"/>
        <w:left w:val="none" w:sz="0" w:space="0" w:color="auto"/>
        <w:bottom w:val="none" w:sz="0" w:space="0" w:color="auto"/>
        <w:right w:val="none" w:sz="0" w:space="0" w:color="auto"/>
      </w:divBdr>
    </w:div>
    <w:div w:id="1814250560">
      <w:bodyDiv w:val="1"/>
      <w:marLeft w:val="0"/>
      <w:marRight w:val="0"/>
      <w:marTop w:val="0"/>
      <w:marBottom w:val="0"/>
      <w:divBdr>
        <w:top w:val="none" w:sz="0" w:space="0" w:color="auto"/>
        <w:left w:val="none" w:sz="0" w:space="0" w:color="auto"/>
        <w:bottom w:val="none" w:sz="0" w:space="0" w:color="auto"/>
        <w:right w:val="none" w:sz="0" w:space="0" w:color="auto"/>
      </w:divBdr>
    </w:div>
    <w:div w:id="1895307354">
      <w:bodyDiv w:val="1"/>
      <w:marLeft w:val="0"/>
      <w:marRight w:val="0"/>
      <w:marTop w:val="0"/>
      <w:marBottom w:val="0"/>
      <w:divBdr>
        <w:top w:val="none" w:sz="0" w:space="0" w:color="auto"/>
        <w:left w:val="none" w:sz="0" w:space="0" w:color="auto"/>
        <w:bottom w:val="none" w:sz="0" w:space="0" w:color="auto"/>
        <w:right w:val="none" w:sz="0" w:space="0" w:color="auto"/>
      </w:divBdr>
    </w:div>
    <w:div w:id="207365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cie.cz/clanek/poradesnka-mista.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kb.cz" TargetMode="External"/><Relationship Id="rId4" Type="http://schemas.openxmlformats.org/officeDocument/2006/relationships/settings" Target="settings.xml"/><Relationship Id="rId9" Type="http://schemas.openxmlformats.org/officeDocument/2006/relationships/hyperlink" Target="https://www.policie.cz/clanek/domaci-nasili-706878.aspx"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lucie.galiova@pcr.cz" TargetMode="External"/><Relationship Id="rId2" Type="http://schemas.openxmlformats.org/officeDocument/2006/relationships/hyperlink" Target="mailto:krpt.prevence@pcr.cz"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260550\AppData\Local\Temp\Rar$DIa0.805\K&#344;P%20Moravskoslezsk&#233;ho%20kraje%20UD.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B9FB1-8149-4912-AB17-603933394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KŘP Moravskoslezského kraje UD</Template>
  <TotalTime>145</TotalTime>
  <Pages>2</Pages>
  <Words>640</Words>
  <Characters>3780</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lpstr>
    </vt:vector>
  </TitlesOfParts>
  <Company>Animi.cz</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ŠTĚTÍNSKÁ Soňa</dc:creator>
  <cp:keywords/>
  <dc:description/>
  <cp:lastModifiedBy>GALIOVÁ Lucie</cp:lastModifiedBy>
  <cp:revision>11</cp:revision>
  <cp:lastPrinted>2020-05-22T09:04:00Z</cp:lastPrinted>
  <dcterms:created xsi:type="dcterms:W3CDTF">2020-07-05T17:59:00Z</dcterms:created>
  <dcterms:modified xsi:type="dcterms:W3CDTF">2021-02-17T06:41:00Z</dcterms:modified>
</cp:coreProperties>
</file>